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B92F7" w14:textId="77777777"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14:paraId="6B5B92F9" w14:textId="77777777"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14:paraId="6B5B92F8" w14:textId="2DC8387F"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w:t>
            </w:r>
            <w:r w:rsidR="00BD4534">
              <w:rPr>
                <w:rFonts w:eastAsia="MS PGothic"/>
                <w:b/>
                <w:noProof/>
                <w:sz w:val="24"/>
                <w:szCs w:val="24"/>
              </w:rPr>
              <w:t>2015</w:t>
            </w:r>
            <w:r w:rsidRPr="00304ABD">
              <w:rPr>
                <w:rFonts w:eastAsia="MS PGothic"/>
                <w:b/>
                <w:noProof/>
                <w:sz w:val="24"/>
                <w:szCs w:val="24"/>
              </w:rPr>
              <w:t xml:space="preserve"> Edition </w:t>
            </w:r>
            <w:r w:rsidRPr="00304ABD">
              <w:rPr>
                <w:rFonts w:eastAsia="MS PGothic"/>
                <w:b/>
                <w:noProof/>
                <w:sz w:val="24"/>
                <w:szCs w:val="24"/>
                <w:vertAlign w:val="superscript"/>
              </w:rPr>
              <w:footnoteReference w:id="1"/>
            </w:r>
          </w:p>
        </w:tc>
      </w:tr>
      <w:tr w:rsidR="00B346EB" w:rsidRPr="00304ABD" w14:paraId="6B5B92FF" w14:textId="77777777"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14:paraId="6B5B92FA" w14:textId="77777777" w:rsidR="00B346EB" w:rsidRPr="00304ABD" w:rsidRDefault="00B346EB">
            <w:pPr>
              <w:rPr>
                <w:rFonts w:eastAsia="MS PGothic"/>
                <w:b/>
                <w:sz w:val="24"/>
                <w:szCs w:val="24"/>
                <w:lang w:val="fr-FR"/>
              </w:rPr>
            </w:pPr>
          </w:p>
          <w:p w14:paraId="6B5B92FB" w14:textId="77777777"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14:paraId="6B5B92FC" w14:textId="77777777"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14:paraId="6B5B92FD" w14:textId="77777777"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14:paraId="6B5B92FE" w14:textId="77777777" w:rsidR="00B346EB" w:rsidRPr="00304ABD" w:rsidRDefault="00B346EB">
            <w:pPr>
              <w:rPr>
                <w:rFonts w:eastAsia="MS PGothic"/>
                <w:szCs w:val="24"/>
                <w:lang w:val="fr-FR"/>
              </w:rPr>
            </w:pPr>
          </w:p>
        </w:tc>
      </w:tr>
      <w:tr w:rsidR="00B346EB" w:rsidRPr="00304ABD" w14:paraId="6B5B9301" w14:textId="77777777"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6B5B9300" w14:textId="77777777" w:rsidR="00B346EB" w:rsidRPr="00304ABD" w:rsidRDefault="00B346EB">
            <w:pPr>
              <w:outlineLvl w:val="1"/>
              <w:rPr>
                <w:rFonts w:eastAsia="MS PGothic"/>
                <w:b/>
                <w:szCs w:val="24"/>
              </w:rPr>
            </w:pPr>
            <w:r w:rsidRPr="00304ABD">
              <w:rPr>
                <w:rFonts w:eastAsia="MS PGothic"/>
                <w:b/>
                <w:noProof/>
                <w:szCs w:val="24"/>
              </w:rPr>
              <w:t>使用許諾契約書</w:t>
            </w:r>
          </w:p>
        </w:tc>
      </w:tr>
    </w:tbl>
    <w:p w14:paraId="6B5B9302" w14:textId="77777777"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14:paraId="6B5B9303"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14:paraId="6B5B9304"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14:paraId="6B5B9305" w14:textId="77777777"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14:paraId="6B5B9306" w14:textId="77777777"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14:paraId="6B5B9307" w14:textId="77777777"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6B5B9308" w14:textId="77777777"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14:paraId="6B5B930A" w14:textId="77777777" w:rsidTr="00D814A8">
        <w:trPr>
          <w:trHeight w:hRule="exact" w:val="101"/>
        </w:trPr>
        <w:tc>
          <w:tcPr>
            <w:tcW w:w="9120" w:type="dxa"/>
            <w:shd w:val="clear" w:color="auto" w:fill="000080"/>
          </w:tcPr>
          <w:p w14:paraId="6B5B9309" w14:textId="77777777" w:rsidR="00B346EB" w:rsidRPr="00304ABD" w:rsidRDefault="00B346EB">
            <w:pPr>
              <w:outlineLvl w:val="1"/>
              <w:rPr>
                <w:rFonts w:eastAsia="MS PGothic"/>
                <w:b/>
                <w:szCs w:val="24"/>
              </w:rPr>
            </w:pPr>
          </w:p>
        </w:tc>
      </w:tr>
    </w:tbl>
    <w:p w14:paraId="6B5B930B" w14:textId="77777777"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14:paraId="6B5B930C"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14:paraId="6B5B930D"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14:paraId="6B5B930E"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14:paraId="6B5B930F" w14:textId="77777777"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14:paraId="6B5B9310"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14:paraId="6B5B9311" w14:textId="77777777"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14:paraId="6B5B9312" w14:textId="77777777"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14:paraId="6B5B9313"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14:paraId="6B5B9314"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14:paraId="6B5B9315"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14:paraId="6B5B9316" w14:textId="77777777"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14:paraId="6B5B9317" w14:textId="77777777"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14:paraId="6B5B9318" w14:textId="77777777"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14:paraId="6B5B9319" w14:textId="77777777"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14:paraId="6B5B931A"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B" w14:textId="77777777"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14:paraId="6B5B931C" w14:textId="77777777"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14:paraId="6B5B931D" w14:textId="77777777"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14:paraId="6B5B931E"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14:paraId="6B5B931F" w14:textId="77777777"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14:paraId="6B5B9320"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14:paraId="6B5B9321" w14:textId="77777777"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14:paraId="6B5B9322"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14:paraId="6B5B9323"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14:paraId="6B5B9324" w14:textId="412CF380"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for Microsoft Office Outlook</w:t>
      </w:r>
    </w:p>
    <w:p w14:paraId="6B5B9325" w14:textId="5FAA0DC2"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14:paraId="6B5B9326" w14:textId="10B4C0DB"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14:paraId="6B5B9327" w14:textId="0C4AF895" w:rsidR="00B346EB" w:rsidRPr="00304ABD" w:rsidRDefault="00B346EB">
      <w:pPr>
        <w:pStyle w:val="Bullet3"/>
        <w:rPr>
          <w:rFonts w:eastAsia="MS PGothic"/>
          <w:sz w:val="20"/>
          <w:szCs w:val="24"/>
        </w:rPr>
      </w:pPr>
      <w:r w:rsidRPr="00304ABD">
        <w:rPr>
          <w:rFonts w:eastAsia="MS PGothic"/>
          <w:noProof/>
          <w:sz w:val="20"/>
          <w:szCs w:val="24"/>
        </w:rPr>
        <w:t xml:space="preserve">Microsoft SharePoint Grid for Microsoft Dynamics CRM </w:t>
      </w:r>
      <w:r w:rsidR="00BD4534">
        <w:rPr>
          <w:rFonts w:eastAsia="MS PGothic"/>
          <w:noProof/>
          <w:sz w:val="20"/>
          <w:szCs w:val="24"/>
        </w:rPr>
        <w:t>2015</w:t>
      </w:r>
    </w:p>
    <w:p w14:paraId="6B5B9328" w14:textId="32FBCD8D"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Report Authoring Extensions</w:t>
      </w:r>
    </w:p>
    <w:p w14:paraId="6B5B9329" w14:textId="6092C41F"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Best Practices Analyzer</w:t>
      </w:r>
    </w:p>
    <w:p w14:paraId="6B5B932A" w14:textId="72EF5CC9"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w:t>
      </w:r>
      <w:r w:rsidR="00BD4534">
        <w:rPr>
          <w:rFonts w:eastAsia="MS PGothic"/>
          <w:noProof/>
          <w:sz w:val="20"/>
          <w:szCs w:val="24"/>
        </w:rPr>
        <w:t>2015</w:t>
      </w:r>
      <w:r w:rsidRPr="00304ABD">
        <w:rPr>
          <w:rFonts w:eastAsia="MS PGothic"/>
          <w:noProof/>
          <w:sz w:val="20"/>
          <w:szCs w:val="24"/>
        </w:rPr>
        <w:t xml:space="preserve"> Multilingual User Interface (MUI)</w:t>
      </w:r>
    </w:p>
    <w:p w14:paraId="6B5B932B" w14:textId="77777777"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14:paraId="6B5B932C" w14:textId="77777777"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14:paraId="6B5B932D" w14:textId="77777777"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14:paraId="6B5B932E"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14:paraId="6B5B932F"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14:paraId="6B5B9330" w14:textId="77777777"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14:paraId="6B5B9331" w14:textId="77777777"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14:paraId="6B5B9332" w14:textId="77777777"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14:paraId="6B5B9333" w14:textId="77777777"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14:paraId="6B5B9334" w14:textId="77777777"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14:paraId="6B5B9335"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6" w14:textId="77777777"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14:paraId="6B5B9337" w14:textId="77777777"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14:paraId="6B5B9338" w14:textId="77777777"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14:paraId="6B5B9339" w14:textId="77777777"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14:paraId="6B5B933A" w14:textId="765ABC4D"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14:paraId="6B5B933B" w14:textId="4261521A"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14:paraId="6B5B933C" w14:textId="123E29E9"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w:t>
      </w:r>
      <w:r w:rsidR="00BD4534">
        <w:rPr>
          <w:rFonts w:eastAsia="MS PGothic"/>
          <w:noProof/>
          <w:sz w:val="20"/>
          <w:szCs w:val="24"/>
        </w:rPr>
        <w:t>2015</w:t>
      </w:r>
      <w:r w:rsidRPr="00304ABD">
        <w:rPr>
          <w:rFonts w:eastAsia="MS PGothic"/>
          <w:noProof/>
          <w:sz w:val="20"/>
          <w:szCs w:val="24"/>
        </w:rPr>
        <w:t xml:space="preserve">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14:paraId="6B5B933D" w14:textId="77777777"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14:paraId="6B5B933E" w14:textId="77777777"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14:paraId="6B5B933F" w14:textId="77777777"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14:paraId="6B5B9340" w14:textId="77777777"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14:paraId="6B5B9341"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14:paraId="6B5B9342" w14:textId="77777777"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14:paraId="6B5B9343" w14:textId="77777777"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14:paraId="6B5B9344" w14:textId="77777777"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14:paraId="6B5B9345" w14:textId="77777777"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14:paraId="6B5B9346" w14:textId="77777777"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14:paraId="6B5B9347" w14:textId="77777777"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14:paraId="6B5B934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14:paraId="6B5B934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14:paraId="6B5B934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6B5B934B"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14:paraId="6B5B934C"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14:paraId="6B5B934D" w14:textId="77777777"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14:paraId="6B5B934E" w14:textId="77777777"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14:paraId="6B5B934F"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14:paraId="6B5B9350" w14:textId="77777777"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14:paraId="6B5B9351" w14:textId="77777777"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6B5B9352"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14:paraId="6B5B9353"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14:paraId="6B5B9354"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14:paraId="6B5B9355"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14:paraId="6B5B9356"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14:paraId="6B5B9357" w14:textId="77777777"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6B5B9358"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7"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14:paraId="6B5B9359"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14:paraId="6B5B935A" w14:textId="77777777"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6B5B935B"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B5B935C"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B5B935D"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14:paraId="6B5B935E" w14:textId="77777777"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14:paraId="6B5B935F" w14:textId="77777777"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6B5B9360" w14:textId="77777777"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BB8A0" w14:textId="77777777" w:rsidR="00462BC4" w:rsidRDefault="00462BC4">
      <w:pPr>
        <w:spacing w:before="0" w:after="0"/>
        <w:rPr>
          <w:rFonts w:cs="Times New Roman"/>
          <w:szCs w:val="24"/>
        </w:rPr>
      </w:pPr>
      <w:r>
        <w:rPr>
          <w:rFonts w:cs="Times New Roman"/>
          <w:szCs w:val="24"/>
        </w:rPr>
        <w:separator/>
      </w:r>
    </w:p>
  </w:endnote>
  <w:endnote w:type="continuationSeparator" w:id="0">
    <w:p w14:paraId="36F1B455" w14:textId="77777777" w:rsidR="00462BC4" w:rsidRDefault="00462BC4">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83E6C" w14:textId="77777777" w:rsidR="00E40BFD" w:rsidRDefault="00E40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14:paraId="6B5B9367" w14:textId="77777777" w:rsidTr="00312FA9">
      <w:tc>
        <w:tcPr>
          <w:tcW w:w="5028" w:type="dxa"/>
        </w:tcPr>
        <w:p w14:paraId="6B5B9365" w14:textId="786E4B65" w:rsidR="00507F23" w:rsidRDefault="00507F23" w:rsidP="00BD4534">
          <w:pPr>
            <w:tabs>
              <w:tab w:val="center" w:pos="4680"/>
              <w:tab w:val="right" w:pos="9360"/>
            </w:tabs>
            <w:spacing w:before="0" w:after="0"/>
            <w:rPr>
              <w:rFonts w:cs="Times New Roman"/>
              <w:sz w:val="18"/>
              <w:szCs w:val="24"/>
            </w:rPr>
          </w:pPr>
          <w:r>
            <w:rPr>
              <w:rFonts w:cs="Times New Roman"/>
              <w:noProof/>
              <w:sz w:val="18"/>
              <w:szCs w:val="24"/>
            </w:rPr>
            <w:t>ISV Royalty Agreement License Terms (</w:t>
          </w:r>
          <w:r w:rsidR="00BD4534">
            <w:rPr>
              <w:rFonts w:cs="Times New Roman"/>
              <w:noProof/>
              <w:sz w:val="18"/>
              <w:szCs w:val="24"/>
            </w:rPr>
            <w:t>January</w:t>
          </w:r>
          <w:r>
            <w:rPr>
              <w:rFonts w:cs="Times New Roman"/>
              <w:noProof/>
              <w:sz w:val="18"/>
              <w:szCs w:val="24"/>
            </w:rPr>
            <w:t xml:space="preserve"> 1, </w:t>
          </w:r>
          <w:r w:rsidR="00BD4534">
            <w:rPr>
              <w:rFonts w:cs="Times New Roman"/>
              <w:noProof/>
              <w:sz w:val="18"/>
              <w:szCs w:val="24"/>
            </w:rPr>
            <w:t>2015</w:t>
          </w:r>
          <w:r>
            <w:rPr>
              <w:rFonts w:cs="Times New Roman"/>
              <w:noProof/>
              <w:sz w:val="18"/>
              <w:szCs w:val="24"/>
            </w:rPr>
            <w:t>)</w:t>
          </w:r>
        </w:p>
      </w:tc>
      <w:tc>
        <w:tcPr>
          <w:tcW w:w="4200" w:type="dxa"/>
        </w:tcPr>
        <w:p w14:paraId="6B5B9366" w14:textId="77777777"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644C84">
            <w:rPr>
              <w:rFonts w:cs="Times New Roman"/>
              <w:noProof/>
              <w:sz w:val="18"/>
              <w:szCs w:val="18"/>
            </w:rPr>
            <w:t>1</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644C84">
            <w:rPr>
              <w:rFonts w:cs="Times New Roman"/>
              <w:noProof/>
              <w:sz w:val="18"/>
              <w:szCs w:val="18"/>
            </w:rPr>
            <w:t>1</w:t>
          </w:r>
          <w:r w:rsidR="00336953" w:rsidRPr="00ED5D14">
            <w:rPr>
              <w:rFonts w:cs="Times New Roman"/>
              <w:sz w:val="18"/>
              <w:szCs w:val="18"/>
            </w:rPr>
            <w:fldChar w:fldCharType="end"/>
          </w:r>
        </w:p>
      </w:tc>
    </w:tr>
  </w:tbl>
  <w:p w14:paraId="6B5B9368" w14:textId="77777777" w:rsidR="00507F23" w:rsidRDefault="00507F23">
    <w:pPr>
      <w:pStyle w:val="Footer"/>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3438B" w14:textId="77777777" w:rsidR="00E40BFD" w:rsidRDefault="00E40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96F63" w14:textId="77777777" w:rsidR="00462BC4" w:rsidRDefault="00462BC4">
      <w:pPr>
        <w:spacing w:before="0" w:after="0"/>
        <w:rPr>
          <w:rFonts w:cs="Times New Roman"/>
          <w:szCs w:val="24"/>
        </w:rPr>
      </w:pPr>
      <w:r>
        <w:rPr>
          <w:rFonts w:cs="Times New Roman"/>
          <w:szCs w:val="24"/>
        </w:rPr>
        <w:separator/>
      </w:r>
    </w:p>
  </w:footnote>
  <w:footnote w:type="continuationSeparator" w:id="0">
    <w:p w14:paraId="7AF3EB06" w14:textId="77777777" w:rsidR="00462BC4" w:rsidRDefault="00462BC4">
      <w:pPr>
        <w:spacing w:before="0" w:after="0"/>
        <w:rPr>
          <w:rFonts w:cs="Times New Roman"/>
          <w:szCs w:val="24"/>
        </w:rPr>
      </w:pPr>
      <w:r>
        <w:rPr>
          <w:rFonts w:cs="Times New Roman"/>
          <w:szCs w:val="24"/>
        </w:rPr>
        <w:continuationSeparator/>
      </w:r>
    </w:p>
  </w:footnote>
  <w:footnote w:id="1">
    <w:p w14:paraId="6B5B9369" w14:textId="5C4C5DC4"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w:t>
      </w:r>
      <w:r w:rsidR="00BD4534">
        <w:rPr>
          <w:rFonts w:eastAsia="MS PGothic" w:cs="Tahoma"/>
          <w:bCs w:val="0"/>
          <w:noProof/>
          <w:szCs w:val="24"/>
        </w:rPr>
        <w:t>2015</w:t>
      </w:r>
      <w:r w:rsidRPr="00312FA9">
        <w:rPr>
          <w:rFonts w:eastAsia="MS PGothic" w:cs="Tahoma"/>
          <w:bCs w:val="0"/>
          <w:noProof/>
          <w:szCs w:val="24"/>
        </w:rPr>
        <w:t xml:space="preserve"> Academic Edition)</w:t>
      </w:r>
      <w:r w:rsidRPr="00312FA9">
        <w:rPr>
          <w:rFonts w:eastAsia="MS PGothic" w:cs="Tahoma"/>
          <w:bCs w:val="0"/>
          <w:noProof/>
          <w:szCs w:val="24"/>
        </w:rPr>
        <w:t>。</w:t>
      </w:r>
    </w:p>
  </w:footnote>
  <w:footnote w:id="2">
    <w:p w14:paraId="6B5B936A"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14:paraId="6B5B936B" w14:textId="77777777"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14:paraId="6B5B936C" w14:textId="77777777"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BB54" w14:textId="77777777" w:rsidR="00E40BFD" w:rsidRDefault="00E40B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A18E5" w14:textId="77777777" w:rsidR="00E40BFD" w:rsidRDefault="00E40B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6064B" w14:textId="77777777" w:rsidR="00E40BFD" w:rsidRDefault="00E40B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EdEtJAbe8yX8TujQW/6xVJDAqVftosKh1/bFIvh2XjkbA22ae5OXX/ue1mGeY1kbulP9q8ylETFR//johJpUw==" w:salt="3pS0fqQSb3pJ77BlrqIrYA=="/>
  <w:defaultTabStop w:val="720"/>
  <w:drawingGridHorizontalSpacing w:val="120"/>
  <w:displayHorizontalDrawingGridEvery w:val="2"/>
  <w:characterSpacingControl w:val="doNotCompress"/>
  <w:noLineBreaksAfter w:lang="ja-JP" w:val="$([\{‘“〈《「『【〔＄（［｛｢｣･￡￥"/>
  <w:noLineBreaksBefore w:lang="ja-JP" w:val="!%),.:;?]}°’”‰′″℃、。々〉》」』】〕゛゜ゝゞ・ヽヾ！％），．：；？］｝｡｢｣､･ﾞﾟ￠"/>
  <w:savePreviewPicture/>
  <w:hdrShapeDefaults>
    <o:shapedefaults v:ext="edit" spidmax="409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2054A"/>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62BC4"/>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44C84"/>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74D7D"/>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34"/>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F6801"/>
    <w:rsid w:val="00E02215"/>
    <w:rsid w:val="00E40BFD"/>
    <w:rsid w:val="00E6137D"/>
    <w:rsid w:val="00E83B0C"/>
    <w:rsid w:val="00E9354A"/>
    <w:rsid w:val="00E94038"/>
    <w:rsid w:val="00EA1C29"/>
    <w:rsid w:val="00EC4292"/>
    <w:rsid w:val="00EC7147"/>
    <w:rsid w:val="00ED5D14"/>
    <w:rsid w:val="00EE27B0"/>
    <w:rsid w:val="00EE5CCF"/>
    <w:rsid w:val="00EE727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5B9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2014-12-22T17:43:00Z</dcterms:created>
  <dcterms:modified xsi:type="dcterms:W3CDTF">2014-12-31T19:58:00Z</dcterms:modified>
  <cp:category/>
</cp:coreProperties>
</file>